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2061"/>
        <w:gridCol w:w="236"/>
        <w:gridCol w:w="1017"/>
        <w:gridCol w:w="2639"/>
        <w:gridCol w:w="255"/>
        <w:gridCol w:w="2280"/>
        <w:gridCol w:w="974"/>
      </w:tblGrid>
      <w:tr w:rsidR="00576E86" w:rsidRPr="00576E86" w:rsidTr="00576E86">
        <w:trPr>
          <w:trHeight w:val="255"/>
        </w:trPr>
        <w:tc>
          <w:tcPr>
            <w:tcW w:w="1418"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Level</w:t>
            </w:r>
          </w:p>
        </w:tc>
        <w:tc>
          <w:tcPr>
            <w:tcW w:w="2061"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3656" w:type="dxa"/>
            <w:gridSpan w:val="2"/>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Kabupaten Berau</w:t>
            </w:r>
          </w:p>
        </w:tc>
        <w:tc>
          <w:tcPr>
            <w:tcW w:w="255"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280"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974"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3479" w:type="dxa"/>
            <w:gridSpan w:val="2"/>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Komponen</w:t>
            </w:r>
          </w:p>
        </w:tc>
        <w:tc>
          <w:tcPr>
            <w:tcW w:w="236"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3656" w:type="dxa"/>
            <w:gridSpan w:val="2"/>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C. Kelompok Masyarakat Sipil</w:t>
            </w:r>
          </w:p>
        </w:tc>
        <w:tc>
          <w:tcPr>
            <w:tcW w:w="255"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280"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974"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1418"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2061"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01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2639"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255"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2280"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974"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3715" w:type="dxa"/>
            <w:gridSpan w:val="3"/>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Isu dalam PGA REDD+</w:t>
            </w:r>
          </w:p>
        </w:tc>
        <w:tc>
          <w:tcPr>
            <w:tcW w:w="6191" w:type="dxa"/>
            <w:gridSpan w:val="4"/>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xml:space="preserve">:  I. Perencanaan Kehutanan dan Tata Ruang </w:t>
            </w:r>
          </w:p>
        </w:tc>
        <w:tc>
          <w:tcPr>
            <w:tcW w:w="974"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3479"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236"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576E86" w:rsidRPr="00576E86" w:rsidTr="00576E86">
        <w:trPr>
          <w:trHeight w:val="255"/>
        </w:trPr>
        <w:tc>
          <w:tcPr>
            <w:tcW w:w="3479"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236"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6191" w:type="dxa"/>
            <w:gridSpan w:val="4"/>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974"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ook w:val="04A0"/>
      </w:tblPr>
      <w:tblGrid>
        <w:gridCol w:w="758"/>
        <w:gridCol w:w="1408"/>
        <w:gridCol w:w="1506"/>
        <w:gridCol w:w="1143"/>
        <w:gridCol w:w="1749"/>
        <w:gridCol w:w="1121"/>
        <w:gridCol w:w="1826"/>
        <w:gridCol w:w="1374"/>
      </w:tblGrid>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27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CIa1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untuk jumlah aktivis LSM yang aktif memberikan masukan pada perencanaan wilayah dan kehutanan.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Sudah memadai</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29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Tata Ruang</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untuk jumlah aktivis LSM yang aktif memberikan masukan pada perencanaan wilayah dan kehutanan.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Terdapat 2 pendapat dari Kadis dan Kabid Tata ruang . Kabid penyampaikan belum ada tapi TNC pernah menyampaikan langsung ke Kementerian Kehutanan. Untuk wilayah pesisir dari BPSPL untuk rencana zonasi. Kadis menyampaikan secara materi sangat memadai untuk LSM asing. Sedangakan untuk LSM kita umumnya berkiblat ke LSM asing.</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27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untuk jumlah aktivis LSM yang aktif memberikan masukan pada perencanaan wilayah dan kehutanan.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Sampai sejauh ini sudah cukup memadai dalam memberikan masukan pada perencanaan wilayah dan kehutanan. Namun sejauh ini tidak sering dilibatkan dalam perencanaan wilayah dan kehutanan.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r>
      <w:tr w:rsidR="00576E86" w:rsidRPr="00576E86" w:rsidTr="00576E86">
        <w:trPr>
          <w:trHeight w:val="127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untuk jumlah aktivis LSM yang aktif memberikan masukan pada perencanaan wilayah dan kehutanan.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kurang memadai, aktivis- LSM seperti TNC, WWF, Bestari memberikan masukan untuk tata ruang</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29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untuk jumlah aktivis LSM yang aktif memberikan masukan pada perencanaan wilayah dan kehutanan. </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Ini juga yang menjadi persoalan. Setahu kami LSM lingkungan TNC dan WWF kalau yayasan lokal belum tahu. Teman-teman lingkungan cenderung bermain sendiri sehingga hubungan dengan wartawan kurang baik.sehingga kami tidak tahu apakah jumlah aktivis LSM aktif memberikan masukan dalam perencanaan wilayah dan kehutanan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55"/>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0136" w:type="dxa"/>
            <w:gridSpan w:val="7"/>
            <w:tcBorders>
              <w:top w:val="single" w:sz="4" w:space="0" w:color="auto"/>
              <w:left w:val="nil"/>
              <w:bottom w:val="single" w:sz="4" w:space="0" w:color="auto"/>
              <w:right w:val="single" w:sz="4" w:space="0" w:color="000000"/>
            </w:tcBorders>
            <w:shd w:val="clear" w:color="000000" w:fill="EAF1DD"/>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LSM yang aktif memberikan masukan untuk perencanaan wilayah dan kehutanan adalah TNC dan WWF untuk Terresterial dan Pesisir/ Laut</w:t>
            </w:r>
          </w:p>
        </w:tc>
      </w:tr>
      <w:tr w:rsidR="00576E86" w:rsidRPr="00576E86" w:rsidTr="00576E86">
        <w:trPr>
          <w:trHeight w:val="127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CIa2</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untuk materi yang disampaikan aktivis LSM dalam pertemuan pembahasan perencanaan wilayah dan kehutanan.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sudah memadai</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95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Tata Ruang</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untuk materi yang disampaikan aktivis LSM dalam pertemuan pembahasan perencanaan wilayah dan kehutanan.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Kadis menyampikan secara materi sangat memadai untuk LSM asing. Sedangakan untuk LSM kita umumnya berkiblat ke LSM asing, jadi apa yang diinginkan oleh LSM luar itulah yang disampaikan. Pendanaan LSM di Berau juga berasal dari luar, jadi apa maunya pihak luar itulah yang disampaikan. Kabid </w:t>
            </w:r>
            <w:r w:rsidRPr="00576E86">
              <w:rPr>
                <w:rFonts w:ascii="Times New Roman" w:eastAsia="Times New Roman" w:hAnsi="Times New Roman" w:cs="Times New Roman"/>
                <w:color w:val="000000"/>
                <w:sz w:val="20"/>
                <w:szCs w:val="20"/>
                <w:lang w:eastAsia="id-ID"/>
              </w:rPr>
              <w:lastRenderedPageBreak/>
              <w:t>menyampaikan tidak tahu karean maateri yang disampaikan kepada kementerian kehutanan tidak melalui dinas perumahan dan tata ruang</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5</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untuk materi yang disampaikan aktivis LSM dalam pertemuan pembahasan perencanaan wilayah dan kehutanan.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Masih kurang memadai,  kurang terlibat dalam perencanaan wilayah dan kehutanan juga belum dapat memasukkan isu-isu terkait kondisi tata ruang dan kehutanan, kepentingan masyarakat adata/lokal dan kelestarian hutan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27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untuk materi yang disampaikan aktivis LSM dalam pertemuan pembahasan perencanaan wilayah dan kehutanan.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Masih memerlukan kelengkapan. Masing-masing LSM memiliki versi sendiri. Dari pandangan saling melengkapi . kajian belum terlalu banyak.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27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untuk materi yang disampaikan aktivis LSM dalam pertemuan pembahasan perencanaan wilayah dan kehutanan. </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000000" w:fill="FFFF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Susah menjawab karena tidak pernah terlibat dalam kegiatan seperti itu</w:t>
            </w:r>
          </w:p>
        </w:tc>
        <w:tc>
          <w:tcPr>
            <w:tcW w:w="1382" w:type="dxa"/>
            <w:tcBorders>
              <w:top w:val="nil"/>
              <w:left w:val="nil"/>
              <w:bottom w:val="single" w:sz="4" w:space="0" w:color="auto"/>
              <w:right w:val="single" w:sz="4" w:space="0" w:color="auto"/>
            </w:tcBorders>
            <w:shd w:val="clear" w:color="000000" w:fill="FFFF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255"/>
        </w:trPr>
        <w:tc>
          <w:tcPr>
            <w:tcW w:w="749"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27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CIb1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terkait jumlah akademisi yang aktif memberikan masukan para perencanaan wilayah dan kehutanan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 dari UNMUL sering memberi masukan terutama terkait KPH</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r>
      <w:tr w:rsidR="00576E86" w:rsidRPr="00576E86" w:rsidTr="00576E86">
        <w:trPr>
          <w:trHeight w:val="178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Tata Ruang</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terkait jumlah akademisi yang aktif memberikan masukan para perencanaan wilayah dan kehutanan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Akademisi yang memberikan masukan cukup banyak. Tidak hanya dari Berau tapi juga perguruan tinggi lainnya di Indonesia. Masukan dari akademisi diperlukan selain karena keahliannya/ pengetahuannya adalah mereka bersifat netral dan sesuai dengan bidang ilmu pengetahuannya.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r>
      <w:tr w:rsidR="00576E86" w:rsidRPr="00576E86" w:rsidTr="00576E86">
        <w:trPr>
          <w:trHeight w:val="127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terkait jumlah akademisi yang aktif memberikan masukan para perencanaan wilayah dan kehutanan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 belum dilibatkan atau jarang dilibatkan dalam perencanaan wilayah dan kehutanan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04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terkait jumlah akademisi yang aktif memberikan masukan para perencanaan wilayah dan kehutanan</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 belum ada secara formal melalui undangan SKPD memberikan masukan pada perencanaan wilayah kehutanan. Saat ini akademisi masuk dalam POKJA REDD hanya STIPER. Pada prinsipnya akademisi siap untuk memberikan masukan terhadap perencanaan wilayah kehutanan namun sejauh ini belum dilibatkan.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530"/>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CIb2</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terkait materi yang disampaikan akademisi ydalam pertemuan pembahasan perencanaan wilayah dan kehutanan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Materi sudah memadai</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Tata Ruang</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terkait materi yang disampaikan akademisi ydalam pertemuan pembahasan perencanaan wilayah dan kehutanan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Beda antara praktisi dengan akademisi. Tapi paling tidak teori-teori mereka yang memahami. Contohnya banyak akademisi yang menginginkan di Berau ini jadi hutan lindung semua, sementara kalau praktisikan berpikiran lain.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terkait materi yang disampaikan akademisi ydalam pertemuan pembahasan perencanaan wilayah dan kehutanan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 belum dilibatakan dalam pertemuan-pertemuan pembahasan perencanaan wilayah dan kehutanan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38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terkait materi yang disampaikan akademisi ydalam pertemuan pembahasan perencanaan wilayah dan kehutanan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Bahwa akademisi saat ini belum dilibatkan dalam perencanaan wilayah kehutanan. </w:t>
            </w:r>
            <w:r w:rsidRPr="00576E86">
              <w:rPr>
                <w:rFonts w:ascii="Times New Roman" w:eastAsia="Times New Roman" w:hAnsi="Times New Roman" w:cs="Times New Roman"/>
                <w:color w:val="000000"/>
                <w:sz w:val="20"/>
                <w:szCs w:val="20"/>
                <w:lang w:eastAsia="id-ID"/>
              </w:rPr>
              <w:br/>
              <w:t xml:space="preserve">REDD+ fokus pada perubahan iklim dimana ada aksi, skema dan lainnya. </w:t>
            </w:r>
            <w:r w:rsidRPr="00576E86">
              <w:rPr>
                <w:rFonts w:ascii="Times New Roman" w:eastAsia="Times New Roman" w:hAnsi="Times New Roman" w:cs="Times New Roman"/>
                <w:color w:val="000000"/>
                <w:sz w:val="20"/>
                <w:szCs w:val="20"/>
                <w:lang w:eastAsia="id-ID"/>
              </w:rPr>
              <w:br/>
              <w:t>Peranan akademisi dalam Pokja REDD+ untuk memberikan masukan dalam kehutanan cukup memadai seperti dalam hal Tata Ruang dan Pengelolaan Lingkungan Hidup</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r>
      <w:tr w:rsidR="00576E86" w:rsidRPr="00576E86" w:rsidTr="00576E86">
        <w:trPr>
          <w:trHeight w:val="390"/>
        </w:trPr>
        <w:tc>
          <w:tcPr>
            <w:tcW w:w="749"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0136" w:type="dxa"/>
            <w:gridSpan w:val="7"/>
            <w:tcBorders>
              <w:top w:val="single" w:sz="4" w:space="0" w:color="auto"/>
              <w:left w:val="single" w:sz="4" w:space="0" w:color="auto"/>
              <w:bottom w:val="nil"/>
              <w:right w:val="nil"/>
            </w:tcBorders>
            <w:shd w:val="clear" w:color="000000" w:fill="EAF1DD"/>
            <w:noWrap/>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 yang yang aktif memberikan masukan untuk perencanaan wilayah dan kehutanan adalah UNMUL dan beberapa universitas lain di Indonesia seperti UI,….</w:t>
            </w:r>
          </w:p>
        </w:tc>
      </w:tr>
      <w:tr w:rsidR="00576E86" w:rsidRPr="00576E86" w:rsidTr="00576E86">
        <w:trPr>
          <w:trHeight w:val="255"/>
        </w:trPr>
        <w:tc>
          <w:tcPr>
            <w:tcW w:w="749" w:type="dxa"/>
            <w:tcBorders>
              <w:top w:val="nil"/>
              <w:left w:val="single" w:sz="4" w:space="0" w:color="auto"/>
              <w:bottom w:val="single" w:sz="4" w:space="0" w:color="auto"/>
              <w:right w:val="nil"/>
            </w:tcBorders>
            <w:shd w:val="clear" w:color="auto" w:fill="auto"/>
            <w:noWrap/>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388" w:type="dxa"/>
            <w:tcBorders>
              <w:top w:val="nil"/>
              <w:left w:val="nil"/>
              <w:bottom w:val="single" w:sz="4" w:space="0" w:color="auto"/>
              <w:right w:val="nil"/>
            </w:tcBorders>
            <w:shd w:val="clear" w:color="auto" w:fill="auto"/>
            <w:noWrap/>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515" w:type="dxa"/>
            <w:tcBorders>
              <w:top w:val="nil"/>
              <w:left w:val="nil"/>
              <w:bottom w:val="single" w:sz="4" w:space="0" w:color="auto"/>
              <w:right w:val="nil"/>
            </w:tcBorders>
            <w:shd w:val="clear" w:color="auto" w:fill="auto"/>
            <w:noWrap/>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128" w:type="dxa"/>
            <w:tcBorders>
              <w:top w:val="nil"/>
              <w:left w:val="nil"/>
              <w:bottom w:val="single" w:sz="4" w:space="0" w:color="auto"/>
              <w:right w:val="nil"/>
            </w:tcBorders>
            <w:shd w:val="clear" w:color="auto" w:fill="auto"/>
            <w:noWrap/>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759" w:type="dxa"/>
            <w:tcBorders>
              <w:top w:val="nil"/>
              <w:left w:val="nil"/>
              <w:bottom w:val="single" w:sz="4" w:space="0" w:color="auto"/>
              <w:right w:val="nil"/>
            </w:tcBorders>
            <w:shd w:val="clear" w:color="auto" w:fill="auto"/>
            <w:noWrap/>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127" w:type="dxa"/>
            <w:tcBorders>
              <w:top w:val="nil"/>
              <w:left w:val="nil"/>
              <w:bottom w:val="single" w:sz="4" w:space="0" w:color="auto"/>
              <w:right w:val="nil"/>
            </w:tcBorders>
            <w:shd w:val="clear" w:color="auto" w:fill="auto"/>
            <w:noWrap/>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837" w:type="dxa"/>
            <w:tcBorders>
              <w:top w:val="nil"/>
              <w:left w:val="nil"/>
              <w:bottom w:val="single" w:sz="4" w:space="0" w:color="auto"/>
              <w:right w:val="single" w:sz="4" w:space="0" w:color="auto"/>
            </w:tcBorders>
            <w:shd w:val="clear" w:color="auto" w:fill="auto"/>
            <w:noWrap/>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382"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600"/>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576E86">
              <w:rPr>
                <w:rFonts w:ascii="Times New Roman" w:eastAsia="Times New Roman" w:hAnsi="Times New Roman" w:cs="Times New Roman"/>
                <w:b/>
                <w:bCs/>
                <w:color w:val="000000"/>
                <w:sz w:val="20"/>
                <w:szCs w:val="20"/>
                <w:lang w:eastAsia="id-ID"/>
              </w:rPr>
              <w:br/>
              <w:t xml:space="preserve">       </w:t>
            </w: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lastRenderedPageBreak/>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27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CIc1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untuk jumlah kelompok masyarakat sipil yang menunjukkan kepada publik penyimpangan prosedur dan potensi kerugian masyarakat</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000000" w:fill="FFFF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Responden tidak menjawab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309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Tata Ruang</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untuk jumlah kelompok masyarakat sipil yang menunjukkan kepada publik penyimpangan prosedur dan potensi kerugian masyarakat</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ada karena yang  menetapkan status kawasan hutan (hutan lindung, produksi) dari pusat. Masyarakat yang komplain terhadap tata ruang dan kehutanan sangat banyak, bahkan pemerintah daerah juga komplain kepada pemerintah pusat. Sebagai contoh banyak kampung yang berada di dalam KBK, padahal mereka telah ratusan tahun tinggal disana. Akibatnya pembangunan kampung jadi terhambat dan masyarakat juga tidak bisa membuat sertifikat kepemilikan tanahnya.</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72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untuk jumlah kelompok masyarakat sipil yang menunjukkan kepada publik penyimpangan prosedur dan potensi kerugian masyarakat</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memadai, karena sampai saat ini hanya sebatas wacana saja belum ada tindakan apa-apa yang dilakukan.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57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untuk jumlah kelompok masyarakat sipil yang menunjukkan kepada publik penyimpangan prosedur dan potensi kerugian masyarakat</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Langsung ditanyakan kepada dishut yaitu Polhut terkait dengan penebangan liar dan lainnya. Ada, ini dapat ditelusuri di Dishut</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02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Surat Forum Aspirasi Rakyat Pinggiran kepada PT. SBE tentang dugaan beberapa pelanggaran </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Soal tambang, tidak murni laporan tapi perseteruan antara perusahaan yang saling menjatuhkan dan LSM/ KSM juga tidak murni ada kepentingan.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405"/>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0136" w:type="dxa"/>
            <w:gridSpan w:val="7"/>
            <w:tcBorders>
              <w:top w:val="single" w:sz="4" w:space="0" w:color="auto"/>
              <w:left w:val="nil"/>
              <w:bottom w:val="single" w:sz="4" w:space="0" w:color="auto"/>
              <w:right w:val="single" w:sz="4" w:space="0" w:color="000000"/>
            </w:tcBorders>
            <w:shd w:val="clear" w:color="000000" w:fill="EAF1DD"/>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Forum Aspirasi Rakyat Pinggiran melayangkan surat kepada Bupati, Kepala Dinas Pertambangan dan Kepala BLH perihal Dugaan Beberapa Pelanggaran yang Dilakukan olh PT Supra Bara Energi</w:t>
            </w:r>
          </w:p>
        </w:tc>
      </w:tr>
      <w:tr w:rsidR="00576E86" w:rsidRPr="00576E86" w:rsidTr="00576E86">
        <w:trPr>
          <w:trHeight w:val="1530"/>
        </w:trPr>
        <w:tc>
          <w:tcPr>
            <w:tcW w:w="749"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CIc2</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tentang kemampuan kelompok masyarakat sipil yang menunjukkan penyimpangan prosedur dan potensi kerugian akibat perencanaan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000000" w:fill="FFFF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Responden tidak menjawab pertanyaan ini</w:t>
            </w:r>
          </w:p>
        </w:tc>
        <w:tc>
          <w:tcPr>
            <w:tcW w:w="1382" w:type="dxa"/>
            <w:tcBorders>
              <w:top w:val="nil"/>
              <w:left w:val="nil"/>
              <w:bottom w:val="single" w:sz="4" w:space="0" w:color="auto"/>
              <w:right w:val="single" w:sz="4" w:space="0" w:color="auto"/>
            </w:tcBorders>
            <w:shd w:val="clear" w:color="000000" w:fill="FFFF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Tata Ruang</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tentang kemampuan kelompok masyarakat sipil yang menunjukkan penyimpangan prosedur dan potensi kerugian akibat perencanaan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Masyarakat sudah tahu, masalahnya adalah keadilan, disatu sisi masyarakat yang berdiam di sana tidak boleh mengambil namun orang Jakarta boleh mengambil, itu namanya tidak adil.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tentang kemampuan kelompok masyarakat sipil yang menunjukkan penyimpangan prosedur dan potensi kerugian akibat perencanaan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memadai, sama juga dengan diatas bahwa sejauh ini hanya sebatas wacana saja belum ada implementasi secara langsung</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tentang kemampuan kelompok masyarakat sipil yang menunjukkan penyimpangan prosedur dan potensi kerugian </w:t>
            </w:r>
            <w:r w:rsidRPr="00576E86">
              <w:rPr>
                <w:rFonts w:ascii="Times New Roman" w:eastAsia="Times New Roman" w:hAnsi="Times New Roman" w:cs="Times New Roman"/>
                <w:color w:val="000000"/>
                <w:sz w:val="20"/>
                <w:szCs w:val="20"/>
                <w:lang w:eastAsia="id-ID"/>
              </w:rPr>
              <w:lastRenderedPageBreak/>
              <w:t>akibat perencanaan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Masyarakat kurang peka dengan masalah lingkungan. Dengan jumlah Polhut sangat tidak rasional, sarana dan prasarana tidak memadai namun </w:t>
            </w:r>
            <w:r w:rsidRPr="00576E86">
              <w:rPr>
                <w:rFonts w:ascii="Times New Roman" w:eastAsia="Times New Roman" w:hAnsi="Times New Roman" w:cs="Times New Roman"/>
                <w:color w:val="000000"/>
                <w:sz w:val="20"/>
                <w:szCs w:val="20"/>
                <w:lang w:eastAsia="id-ID"/>
              </w:rPr>
              <w:lastRenderedPageBreak/>
              <w:t>terkadang hal-hal tersebut tidak terbuka</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1</w:t>
            </w:r>
          </w:p>
        </w:tc>
      </w:tr>
      <w:tr w:rsidR="00576E86" w:rsidRPr="00576E86" w:rsidTr="00576E86">
        <w:trPr>
          <w:trHeight w:val="229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Surat Forum aspirasi masyarakat pinggiran tentang penghentian operasi PT. SBE atas dasar surat menteri Kehutanan No.S.95/Menhut-IV/2010. kliping media Kaltim post/ Berau post (PT Supra Bara Energi) di Kab. Berau diduga Illegal Mining, SBE Ngotot Beroperasi)</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LSM/ Kelompok yang melaporkanpun tidak murni ada kepentingannya bahkan kadang berpihak dari salah satu perusahaan.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55"/>
        </w:trPr>
        <w:tc>
          <w:tcPr>
            <w:tcW w:w="749"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360"/>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576E86">
              <w:rPr>
                <w:rFonts w:ascii="Times New Roman" w:eastAsia="Times New Roman" w:hAnsi="Times New Roman" w:cs="Times New Roman"/>
                <w:b/>
                <w:bCs/>
                <w:color w:val="000000"/>
                <w:sz w:val="20"/>
                <w:szCs w:val="20"/>
                <w:lang w:eastAsia="id-ID"/>
              </w:rPr>
              <w:br/>
            </w: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27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CId1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untuk jumlah aktivis LSM/ jaringan LSM yang mendampingi masyarakat melakukan pemetaan wilayah</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Ada aktivis LSM yang mendampingi masyarakat</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33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Tata Ruang</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Laporan dan berita acara pertemuan pemetaan kampung partisipatif. Tata guna lahan kampung yang difasilitasi oleh TNC.</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Ada dulu TNC mendampingi pemetaan kampung partisipatif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65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Laporan dan berita acara pertemuan pemetaan kampung partisipatif yang dilakukan oleh TNC dan WE di Kelay yaitu pemetaan </w:t>
            </w:r>
            <w:r w:rsidRPr="00576E86">
              <w:rPr>
                <w:rFonts w:ascii="Times New Roman" w:eastAsia="Times New Roman" w:hAnsi="Times New Roman" w:cs="Times New Roman"/>
                <w:color w:val="000000"/>
                <w:sz w:val="20"/>
                <w:szCs w:val="20"/>
                <w:lang w:eastAsia="id-ID"/>
              </w:rPr>
              <w:lastRenderedPageBreak/>
              <w:t xml:space="preserve">administrasi kampung dan tata guna lahan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3</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Masih minim sekali LSM yang mendampingi masyarakat melakukan pemetaan kampung partisipatif baik secara teraturan maupun secara </w:t>
            </w:r>
            <w:r w:rsidRPr="00576E86">
              <w:rPr>
                <w:rFonts w:ascii="Times New Roman" w:eastAsia="Times New Roman" w:hAnsi="Times New Roman" w:cs="Times New Roman"/>
                <w:color w:val="000000"/>
                <w:sz w:val="20"/>
                <w:szCs w:val="20"/>
                <w:lang w:eastAsia="id-ID"/>
              </w:rPr>
              <w:lastRenderedPageBreak/>
              <w:t>tidak teratur bahkan sampai dengan transfer pengetahuan dan keterampilan.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2</w:t>
            </w:r>
          </w:p>
        </w:tc>
      </w:tr>
      <w:tr w:rsidR="00576E86" w:rsidRPr="00576E86" w:rsidTr="00576E86">
        <w:trPr>
          <w:trHeight w:val="241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Organisasi Masyarakat Adat Lokal</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Laporan dan berita acara pertemuan pemetaan kampung partisipatif yang dilakukan oleh TNC di kampung Long Duhung, Long Keluh. Peta administrasi kampung Long Duhung, Long Keluh, Long Lamjan, Long Lamcin, Long Suluy dan beberapa kampung lainnya</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TNC yang membantu di tingkat kampung seperti pemetaan wilayah kampung dan tata guna lahan kampung. Forum Kampung juga ikut didalamnya memfasilitasi di masyarakat.</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27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untuk jumlah aktivis LSM/ jaringan LSM yang mendampingi masyarakat melakukan pemetaan wilayah</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Seperti Forum Masyarakat Lingkar Tambang yang membantu dalam pemetaan wilayah. Juga ada yang melakukan pemetaan wilayah pada areal HPH sehingga ada enclave menjadi hak kampung.</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41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Laporan dan berita acara pertemuan pemetaan kampung partisipatif yang dilakukan oleh TNC di kampung Long Duhung, Long Keluh. Peta administrasi kampung Long Duhung, Long Keluh, Long Lamjan, Long Lamcin, Long Suluy dan beberapa kampung lainnya</w:t>
            </w:r>
          </w:p>
        </w:tc>
        <w:tc>
          <w:tcPr>
            <w:tcW w:w="1127" w:type="dxa"/>
            <w:tcBorders>
              <w:top w:val="nil"/>
              <w:left w:val="nil"/>
              <w:bottom w:val="single" w:sz="4" w:space="0" w:color="auto"/>
              <w:right w:val="single" w:sz="4" w:space="0" w:color="auto"/>
            </w:tcBorders>
            <w:shd w:val="clear" w:color="000000" w:fill="FFFF00"/>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Setahu saya TNC melakukan itu.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27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CId2</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Kemampuan aktivis-LSM/ ja-ringan LSM yang mendampingi masyarakat melakukan </w:t>
            </w:r>
            <w:r w:rsidRPr="00576E86">
              <w:rPr>
                <w:rFonts w:ascii="Times New Roman" w:eastAsia="Times New Roman" w:hAnsi="Times New Roman" w:cs="Times New Roman"/>
                <w:color w:val="000000"/>
                <w:sz w:val="20"/>
                <w:szCs w:val="20"/>
                <w:lang w:eastAsia="id-ID"/>
              </w:rPr>
              <w:lastRenderedPageBreak/>
              <w:t>pemetaan wilayah</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 xml:space="preserve">Apakah kemampuan aktivis-LSM/ jaringan LSM yang mendampingi masyarakat </w:t>
            </w:r>
            <w:r w:rsidRPr="00576E86">
              <w:rPr>
                <w:rFonts w:ascii="Times New Roman" w:eastAsia="Times New Roman" w:hAnsi="Times New Roman" w:cs="Times New Roman"/>
                <w:color w:val="000000"/>
                <w:sz w:val="20"/>
                <w:szCs w:val="20"/>
                <w:lang w:eastAsia="id-ID"/>
              </w:rPr>
              <w:lastRenderedPageBreak/>
              <w:t>melakukan pemetaan wilayah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tentang kemampuan aktivis-LSM/ jaringan LSM yang </w:t>
            </w:r>
            <w:r w:rsidRPr="00576E86">
              <w:rPr>
                <w:rFonts w:ascii="Times New Roman" w:eastAsia="Times New Roman" w:hAnsi="Times New Roman" w:cs="Times New Roman"/>
                <w:color w:val="000000"/>
                <w:sz w:val="20"/>
                <w:szCs w:val="20"/>
                <w:lang w:eastAsia="id-ID"/>
              </w:rPr>
              <w:lastRenderedPageBreak/>
              <w:t>mendampingi masyarakat melakukan pemetaan wilayah</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Kemampuan sudah memadai</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r>
      <w:tr w:rsidR="00576E86" w:rsidRPr="00576E86" w:rsidTr="00576E86">
        <w:trPr>
          <w:trHeight w:val="238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Tata Ruang</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Laporan dan berita acara pertemuan pemetaan kampung partisipatif yang dilakukan oleh TNC di kampung Long Duhung, Long Keluh. Peta administrasi kampung Long Duhung, Long Keluh, Long Lamjan, Long Lamcin, Long Suluy dan beberapa kampung lainnya</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Kecuali TNC, LSM yang lain tidak memiliki kemampuan/ pengetahuan dibidang itu.</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Laporan dan berita acara pertemuan pemetaan kampung partisipatif yang dilakukan oleh TNC dan WE di Kelay yaitu pemetaan administrasi kampung dan tata guna lahan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memadai, masih bekerjasama dengan pihak luar dalam memfasilitasi pemetaan kampung/ wilayah</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38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Organisasi Masyarakat Adat Lokal</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Laporan dan berita acara pertemuan pemetaan kampung partisipatif yang dilakukan oleh TNC di kampung Long Duhung, Long Keluh. Peta administrasi kampung Long Duhung, Long Keluh, Long Lamjan, Long Lamcin, Long Suluy dan beberapa kampung lainnya</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Kemampuan FKHK masih jauh, belum memiliki kemampuan yang memadai. TNC memiliki kemampuan yang memadai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r>
      <w:tr w:rsidR="00576E86" w:rsidRPr="00576E86" w:rsidTr="00576E86">
        <w:trPr>
          <w:trHeight w:val="139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diberikan tentang kemampuan aktivis-LSM/ jaringan LSM yang mendampingi masyarakat </w:t>
            </w:r>
            <w:r w:rsidRPr="00576E86">
              <w:rPr>
                <w:rFonts w:ascii="Times New Roman" w:eastAsia="Times New Roman" w:hAnsi="Times New Roman" w:cs="Times New Roman"/>
                <w:color w:val="000000"/>
                <w:sz w:val="20"/>
                <w:szCs w:val="20"/>
                <w:lang w:eastAsia="id-ID"/>
              </w:rPr>
              <w:lastRenderedPageBreak/>
              <w:t>melakukan pemetaan wilayah</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Belum tahu kemampuan altivis-LSM/ jaringan LSM dalam mendampingi pemetaan wilayah di masyarakat.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41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Laporan dan berita acara pertemuan pemetaan kampung partisipatif yang dilakukan oleh TNC di kampung Long Duhung, Long Keluh. Peta administrasi kampung Long Duhung, Long Keluh, Long Lamjan, Long Lamcin, Long Suluy dan beberapa kampung lainnya</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c>
          <w:tcPr>
            <w:tcW w:w="1837" w:type="dxa"/>
            <w:tcBorders>
              <w:top w:val="nil"/>
              <w:left w:val="nil"/>
              <w:bottom w:val="single" w:sz="4" w:space="0" w:color="auto"/>
              <w:right w:val="single" w:sz="4" w:space="0" w:color="auto"/>
            </w:tcBorders>
            <w:shd w:val="clear" w:color="000000" w:fill="FFFF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Responden tidak menjawab pertanyaan ini karena tidak pernah trelibat</w:t>
            </w:r>
          </w:p>
        </w:tc>
        <w:tc>
          <w:tcPr>
            <w:tcW w:w="1382" w:type="dxa"/>
            <w:tcBorders>
              <w:top w:val="nil"/>
              <w:left w:val="nil"/>
              <w:bottom w:val="single" w:sz="4" w:space="0" w:color="auto"/>
              <w:right w:val="single" w:sz="4" w:space="0" w:color="auto"/>
            </w:tcBorders>
            <w:shd w:val="clear" w:color="000000" w:fill="FFFF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255"/>
        </w:trPr>
        <w:tc>
          <w:tcPr>
            <w:tcW w:w="749"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600"/>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576E86">
              <w:rPr>
                <w:rFonts w:ascii="Times New Roman" w:eastAsia="Times New Roman" w:hAnsi="Times New Roman" w:cs="Times New Roman"/>
                <w:b/>
                <w:bCs/>
                <w:color w:val="000000"/>
                <w:sz w:val="20"/>
                <w:szCs w:val="20"/>
                <w:lang w:eastAsia="id-ID"/>
              </w:rPr>
              <w:br/>
              <w:t xml:space="preserve">       </w:t>
            </w: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887" w:type="dxa"/>
            <w:gridSpan w:val="2"/>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Well Informed Persons (LSM: Pengurus)</w:t>
            </w: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530"/>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CIe1</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diberikan tentang sumber dana yang dipergunakan LSM/jaringan LSM melakukan pendampingan masyarakat melakukan pemetaan wilayah</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memadai, karena jarang atau hampir tidak pernah mendapatkan persetujuan dari donor karena biayanya mahal</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55"/>
        </w:trPr>
        <w:tc>
          <w:tcPr>
            <w:tcW w:w="749"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600"/>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576E86">
              <w:rPr>
                <w:rFonts w:ascii="Times New Roman" w:eastAsia="Times New Roman" w:hAnsi="Times New Roman" w:cs="Times New Roman"/>
                <w:b/>
                <w:bCs/>
                <w:color w:val="000000"/>
                <w:sz w:val="20"/>
                <w:szCs w:val="20"/>
                <w:lang w:eastAsia="id-ID"/>
              </w:rPr>
              <w:br/>
              <w:t xml:space="preserve">       </w:t>
            </w:r>
          </w:p>
        </w:tc>
      </w:tr>
      <w:tr w:rsidR="00576E86" w:rsidRPr="00576E86" w:rsidTr="00576E86">
        <w:trPr>
          <w:trHeight w:val="34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887" w:type="dxa"/>
            <w:gridSpan w:val="2"/>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Well Informed Persons (LSM: Pengurus)</w:t>
            </w: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275"/>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CIf1</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Prosedur penyampaian hasil atau proses partisipasi</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Apakah mekanisme pelaporan balik hasil atau proses partisipasi </w:t>
            </w:r>
            <w:r w:rsidRPr="00576E86">
              <w:rPr>
                <w:rFonts w:ascii="Times New Roman" w:eastAsia="Times New Roman" w:hAnsi="Times New Roman" w:cs="Times New Roman"/>
                <w:color w:val="000000"/>
                <w:sz w:val="20"/>
                <w:szCs w:val="20"/>
                <w:lang w:eastAsia="id-ID"/>
              </w:rPr>
              <w:lastRenderedPageBreak/>
              <w:t>mengatur prosedur pe-nyampaian hasil atau proses partisipasi?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prosedur penyampaian hasil atau proses partisipasi</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hal ini dipengaruhi oleh kapasitas sumberdaya masing-masing. Tidak ada </w:t>
            </w:r>
            <w:r w:rsidRPr="00576E86">
              <w:rPr>
                <w:rFonts w:ascii="Times New Roman" w:eastAsia="Times New Roman" w:hAnsi="Times New Roman" w:cs="Times New Roman"/>
                <w:color w:val="000000"/>
                <w:sz w:val="20"/>
                <w:szCs w:val="20"/>
                <w:lang w:eastAsia="id-ID"/>
              </w:rPr>
              <w:lastRenderedPageBreak/>
              <w:t>mekanisme laporan akan tergantung kepada siapa laporan tersebut akan disampaikan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1</w:t>
            </w:r>
          </w:p>
        </w:tc>
      </w:tr>
      <w:tr w:rsidR="00576E86" w:rsidRPr="00576E86" w:rsidTr="00576E86">
        <w:trPr>
          <w:trHeight w:val="1275"/>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CIf2</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Standarisasi isi laporan hasil atau proses partisipasi</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standarisasi isi laporan hasil atau proses partisipasi</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Mekanisme laporan akan tergantung kepada siapa laporan tersebut akan disampaikan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275"/>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CIf3</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Forum penyampaian hasil atau proses partisipasi</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mekanisme pelaporan balik hasil atau proses partisipasi mengatur forum penyampaian hasil atau proses partisipasi </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mekanisme dalam pelaporan balik hasil atau proses partisipasi yag mengatur forum penyampaian hasil atau proes partisipasi</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530"/>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CIf4</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Penetapan peserta forum penyampaian hasil atau proses partisipasi</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mekanisme pelaporan balik hasil atau proses partisipasi mengatur penetapan peserta forum penyampaian hasil aatau proses partisipasi</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penetapan peserta forum dalam penyempaian hasil atau proses partisipatif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530"/>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CIf5</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Mekanisme penyampaian masukan dari peserta forum</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mekanisme pelaporan balik hasil atau proses partisipasi mengatur mekanisme penyampaian masukan dari peserta forum</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tentu, mekanisme pelaporan balik hasil atau proses partisipasi yang mengatur mekanisme penyampaian masukan dari peserta forum ini tergantung dari penggagas atau penyelenggara acara tersebut</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55"/>
        </w:trPr>
        <w:tc>
          <w:tcPr>
            <w:tcW w:w="749"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3652" w:type="dxa"/>
            <w:gridSpan w:val="3"/>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Isu dalam PGA REDD+</w:t>
            </w:r>
          </w:p>
        </w:tc>
        <w:tc>
          <w:tcPr>
            <w:tcW w:w="5851" w:type="dxa"/>
            <w:gridSpan w:val="4"/>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660"/>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576E86" w:rsidRPr="00576E86" w:rsidTr="00576E86">
        <w:trPr>
          <w:trHeight w:val="34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xml:space="preserve">: Well Informed Persons (Akademisi, LSM, Pemerintah: Biro Hukum Pemda </w:t>
            </w:r>
            <w:r w:rsidRPr="00576E86">
              <w:rPr>
                <w:rFonts w:ascii="Times New Roman" w:eastAsia="Times New Roman" w:hAnsi="Times New Roman" w:cs="Times New Roman"/>
                <w:b/>
                <w:bCs/>
                <w:color w:val="000000"/>
                <w:sz w:val="20"/>
                <w:szCs w:val="20"/>
                <w:lang w:eastAsia="id-ID"/>
              </w:rPr>
              <w:lastRenderedPageBreak/>
              <w:t>Provinsi &amp; Kabupaten)</w:t>
            </w: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lastRenderedPageBreak/>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78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CIIa1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draft perkam pengelolaan SDA di kampung Long Beliu, Long Duhung, Long Keluh, Long Pelay, Long Lamjan dan Long Suluy dan kampung lainnya</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Ada, namun belum memadai. Bahwa ikut membahas draft perkam dengan masyarakat yang merupakan lanjutan dari proses penyusunan draft perkam oleh lembaga yang ada sebelumnya. Namun saat ini tidak lagi dan drat perkam masih belum ditindak lanjuti</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78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tentang jumlah aktivis LSM yang memiliki keterampilan perancangan peraturan (legal drafting) terkait dengan masyarakat adat/lokal</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Bestari pernah memfasilitasi peraturan kampung di daerah laut. Dapat menggerakkan masyarakat untuk penyusunan perkam. TNC mampu menggerakkan penyusunan SK Kawasan Lindung di Sungai Lesan hingga masuk dalam Tata Ruang Kabupaten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Biro Hukum Pemda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draft perkam pengelolaan SDA di kampung Long Beliu, Long Duhung, Long Keluh, Long Pelay, Long Lamjan dan Long Suluy dan kampung lainnya</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ada dari TNC mendampingi menyusun peraturan kampung tentang pemanfaatan sumber sumberdaya alam di kampung Long Boi Kecamatan Kelay. Saat ini yang berperan adalah PNPM dengan program penyusunan APBDes.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76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CIIa2</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Bukti keikutsertaan dalam pelatihan perancangan </w:t>
            </w:r>
            <w:r w:rsidRPr="00576E86">
              <w:rPr>
                <w:rFonts w:ascii="Times New Roman" w:eastAsia="Times New Roman" w:hAnsi="Times New Roman" w:cs="Times New Roman"/>
                <w:color w:val="000000"/>
                <w:sz w:val="20"/>
                <w:szCs w:val="20"/>
                <w:lang w:eastAsia="id-ID"/>
              </w:rPr>
              <w:lastRenderedPageBreak/>
              <w:t>peraturan</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 xml:space="preserve">Apakah aktivis-LSM yang memiliki keterampilan perancangan per-aturan (legal drafting) </w:t>
            </w:r>
            <w:r w:rsidRPr="00576E86">
              <w:rPr>
                <w:rFonts w:ascii="Times New Roman" w:eastAsia="Times New Roman" w:hAnsi="Times New Roman" w:cs="Times New Roman"/>
                <w:color w:val="000000"/>
                <w:sz w:val="20"/>
                <w:szCs w:val="20"/>
                <w:lang w:eastAsia="id-ID"/>
              </w:rPr>
              <w:lastRenderedPageBreak/>
              <w:t>terkait dengan masyarakat adat/lokal me-miliki bukti keikutsertaan dalam pelatihan perancangan peraturan?</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bukti keikutsertaan dalam pelatihan perancangan peraturan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LSM yang memiliki keterampilan perancangan peraturan (legal drafting)  di kabupaten Berau</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76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bukti keikutsertaan dalam pelatihan perancangan peraturan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ada yang memiliki sertifikat perancangan peraturan. Hanya semangat saja</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78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Biro Hukum Pemda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bukti keikutsertaan dalam pelatihan perancangan peraturan</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ada pelatihan yang dilakukan atau di ikuti. Tidak tahu apakah staf pendamping penyusunan Perkam memiliki pendidikan sarjana hukum sehingga memiliki dasar. Yang ada beberapa waktu lalu adalah dari TNC adalah merancang SK tentang POKJA REDD+ di Kabupaten Berau</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530"/>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CIIa3</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Lama waktu kerja sebagai legal drafter</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Berapa lama waktu kerja yang di-miliki aktivis-LSM sebagai legal drafter?</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lama waktu kerja yang dimiliki aktivis LSM sebagai legal drafter</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Umumnya mengerjakan berdasarkan workplan tanpa ada pengalaman sebelumnya. Sehingga penyusunan bisa memakan waktu lama, bisa sampai 2 tahun atau lebih. Bahkan sampai sekarang draft perkam dikampung belum disahkan.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27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lama waktu kerja yang dimiliki aktivis LSM sebagai legal drafter</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Relatif, tergantung dari SDM yang mendampingi. Kurang mengetahui waktunya karena perlu untuk memotivasi, partisipasi, implementasi, maka tidak sebentar mungkin 2-3 bulan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02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Biro Hukum Pemda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lama waktu kerja yang dimiliki aktivis LSM sebagai legal drafter</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Penyusunan dilakukan sekitar 1 minggu dengan dasar memiliki pendidikan sarjana hukum. Jika tidak memiliki dasar waktunya lama</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390"/>
        </w:trPr>
        <w:tc>
          <w:tcPr>
            <w:tcW w:w="749" w:type="dxa"/>
            <w:tcBorders>
              <w:top w:val="nil"/>
              <w:left w:val="single" w:sz="4" w:space="0" w:color="auto"/>
              <w:bottom w:val="single" w:sz="4" w:space="0" w:color="auto"/>
              <w:right w:val="single" w:sz="4" w:space="0" w:color="auto"/>
            </w:tcBorders>
            <w:shd w:val="clear" w:color="000000" w:fill="EAF1DD"/>
            <w:noWrap/>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0136" w:type="dxa"/>
            <w:gridSpan w:val="7"/>
            <w:tcBorders>
              <w:top w:val="single" w:sz="4" w:space="0" w:color="auto"/>
              <w:left w:val="nil"/>
              <w:bottom w:val="single" w:sz="4" w:space="0" w:color="auto"/>
              <w:right w:val="single" w:sz="4" w:space="0" w:color="auto"/>
            </w:tcBorders>
            <w:shd w:val="clear" w:color="000000" w:fill="EAF1DD"/>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 yang mendampingin dalam penyusunan Legal Drafting adalah TNC, WE dan Bestari. Akademisi UNMUL</w:t>
            </w:r>
          </w:p>
        </w:tc>
      </w:tr>
      <w:tr w:rsidR="00576E86" w:rsidRPr="00576E86" w:rsidTr="00576E86">
        <w:trPr>
          <w:trHeight w:val="255"/>
        </w:trPr>
        <w:tc>
          <w:tcPr>
            <w:tcW w:w="749"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630"/>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576E86">
              <w:rPr>
                <w:rFonts w:ascii="Times New Roman" w:eastAsia="Times New Roman" w:hAnsi="Times New Roman" w:cs="Times New Roman"/>
                <w:b/>
                <w:bCs/>
                <w:color w:val="000000"/>
                <w:sz w:val="20"/>
                <w:szCs w:val="20"/>
                <w:lang w:eastAsia="id-ID"/>
              </w:rPr>
              <w:br/>
              <w:t xml:space="preserve">   </w:t>
            </w:r>
          </w:p>
        </w:tc>
      </w:tr>
      <w:tr w:rsidR="00576E86" w:rsidRPr="00576E86" w:rsidTr="00576E86">
        <w:trPr>
          <w:trHeight w:val="34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lastRenderedPageBreak/>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27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CIIb1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terkait jumlah akademisi yang memiliki keterampilan perancangan peraturan (legal drafting) terkait dengan masyarakat adat/ lokal</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memadai jumlah akademisi yang memiliki keterampialan dalam perancangan peraturan di kabupaten Berau.</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04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terkait jumlah akademisi yang memiliki keterampilan perancangan peraturan (legal drafting) terkait dengan masyarakat adat/ lokal</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Hanya perlu lebih untuk dilibatkan. Saat ini akademisi hanya menunggu dan siap untuk diikut sertakan. Dengan Bappeda ikut terlibat penyusunan perda namun belum maksimal diberdayakan. Agak susah juga untuk melihat apakah perwakilan dari akademisi atau bukan karena umumnya akademisi berada juga pada instansi lain.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r>
      <w:tr w:rsidR="00576E86" w:rsidRPr="00576E86" w:rsidTr="00576E86">
        <w:trPr>
          <w:trHeight w:val="229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Biro Hukum Pemda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terkait jumlah akademisi yang memiliki keterampilan perancangan peraturan (legal drafting) terkait dengan masyarakat adat/ lokal</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akademisi yang memiliki keterampilan untuk perancangan peraturan (legal drafting) karena perguruan tinggi yang ada di Kabupaten Berau adalah dalam bidang Ekonomi, Perawatan Syariah dan lainnya. Yang pernah ada adalah pendampingan akademisi dari Samarinda dan Pusat merancang draft  Perda pembangunan gedung.</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76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CIIb2</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Bukti keikutsertaan dalam pelatihan perancangan peraturan</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bukti keikutsertaan dalam pelatihan perancangan peraturan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akademisi yang memiliki bukti (sertifikat) keikutsertaan dalam pelatihan perancangan peraturan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76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bukti keikutsertaan dalam pelatihan perancangan peraturan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yang memiliki bukti keikut sertaan pelatihan perancangan peraturan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27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Biro Hukum Pemda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bukti keikutsertaan dalam pelatihan perancangan peraturan</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Belum ada yang berasal dari Berau namun yang berasal dari luar Berau (Samarinda dan Pusat) ada. Namun hal ini tidak perancangan peraturan terkait masyarakat adat/ lokal.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76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CIIb3</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Lama waktu kerja sebagai legal drafter</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Berapa lama waktu kerja yang di-miliki akademisi sebagai legal drafter?</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tentang lama waktu yang dimiliki akademisi sebagai legal drafter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000000" w:fill="FFFF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Responden Tidak mengetahui</w:t>
            </w:r>
          </w:p>
        </w:tc>
        <w:tc>
          <w:tcPr>
            <w:tcW w:w="1382" w:type="dxa"/>
            <w:tcBorders>
              <w:top w:val="nil"/>
              <w:left w:val="nil"/>
              <w:bottom w:val="single" w:sz="4" w:space="0" w:color="auto"/>
              <w:right w:val="single" w:sz="4" w:space="0" w:color="auto"/>
            </w:tcBorders>
            <w:shd w:val="clear" w:color="000000" w:fill="FFFF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102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Akademisi</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tentang lama waktu yang dimiliki akademisi sebagai legal drafter </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000000" w:fill="FFFF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pernah tahu. Karena tidak terlibat secara langsung atau hingga tuntas dalam penyusunan peraturan. Akademisi siap terlibat.</w:t>
            </w:r>
          </w:p>
        </w:tc>
        <w:tc>
          <w:tcPr>
            <w:tcW w:w="1382" w:type="dxa"/>
            <w:tcBorders>
              <w:top w:val="nil"/>
              <w:left w:val="nil"/>
              <w:bottom w:val="single" w:sz="4" w:space="0" w:color="auto"/>
              <w:right w:val="single" w:sz="4" w:space="0" w:color="auto"/>
            </w:tcBorders>
            <w:shd w:val="clear" w:color="000000" w:fill="FFFF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Biro Hukum Pemda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tentang lama waktu yang dimiliki akademisi sebagai legal drafter </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Waktu yang diperlukan lama dengan beberapa kali pembahasan ini yang dilakukan dalam penyusunan Perda pembangunan gedung. Bahwa akademisi yang mendampingi sudah memiliki pengalaman dengan waktu keja yang lama</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55"/>
        </w:trPr>
        <w:tc>
          <w:tcPr>
            <w:tcW w:w="749"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64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576E86">
              <w:rPr>
                <w:rFonts w:ascii="Times New Roman" w:eastAsia="Times New Roman" w:hAnsi="Times New Roman" w:cs="Times New Roman"/>
                <w:b/>
                <w:bCs/>
                <w:color w:val="000000"/>
                <w:sz w:val="20"/>
                <w:szCs w:val="20"/>
                <w:lang w:eastAsia="id-ID"/>
              </w:rPr>
              <w:br/>
              <w:t xml:space="preserve">   </w:t>
            </w: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4014" w:type="dxa"/>
            <w:gridSpan w:val="3"/>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Well Informed Persons (Pengurus: LSM &amp; Masyarakat Adat)</w:t>
            </w: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lastRenderedPageBreak/>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800"/>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CIIc1</w:t>
            </w:r>
          </w:p>
        </w:tc>
        <w:tc>
          <w:tcPr>
            <w:tcW w:w="1388"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jumlah LSM/ jaringan LSM yang memiliki program pemantauan pengaturan hak masyarakat adat/ lokal terhadap hutan</w:t>
            </w:r>
          </w:p>
        </w:tc>
        <w:tc>
          <w:tcPr>
            <w:tcW w:w="112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memadai, bahwa program yang dilakukan oleh LSM tergantung pada lembaga donor sehingga program pemantauan pengaturan hak masyrakat adat/ lokal terhadap hutan belum ada.</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02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Organisasi Masyarakat Adat Lokal</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Draft perkam pengelolaan SDA, Rencana kerja  dan laporan kegiatan TNC dan WE. Renstra Forum Kampung Hulu Kelay.</w:t>
            </w:r>
          </w:p>
        </w:tc>
        <w:tc>
          <w:tcPr>
            <w:tcW w:w="1127" w:type="dxa"/>
            <w:tcBorders>
              <w:top w:val="single" w:sz="4" w:space="0" w:color="auto"/>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Secara spesifik belum, tapi TNC dan WE mengarah kesana. Lembaga lokal seperti Bestari. Belum ada yang lebih khusus.</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55"/>
        </w:trPr>
        <w:tc>
          <w:tcPr>
            <w:tcW w:w="749"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r>
      <w:tr w:rsidR="00576E86" w:rsidRPr="00576E86" w:rsidTr="00576E86">
        <w:trPr>
          <w:trHeight w:val="31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d. Kode etik yang dipergunakan oleh LSM/jaringan LSM dalam melakukan pemantauan</w:t>
            </w:r>
            <w:r w:rsidRPr="00576E86">
              <w:rPr>
                <w:rFonts w:ascii="Times New Roman" w:eastAsia="Times New Roman" w:hAnsi="Times New Roman" w:cs="Times New Roman"/>
                <w:b/>
                <w:bCs/>
                <w:color w:val="000000"/>
                <w:sz w:val="20"/>
                <w:szCs w:val="20"/>
                <w:lang w:eastAsia="id-ID"/>
              </w:rPr>
              <w:br/>
              <w:t xml:space="preserve">   </w:t>
            </w:r>
          </w:p>
        </w:tc>
      </w:tr>
      <w:tr w:rsidR="00576E86" w:rsidRPr="00576E86" w:rsidTr="00576E86">
        <w:trPr>
          <w:trHeight w:val="31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576E86">
              <w:rPr>
                <w:rFonts w:ascii="Times New Roman" w:eastAsia="Times New Roman" w:hAnsi="Times New Roman" w:cs="Times New Roman"/>
                <w:b/>
                <w:bCs/>
                <w:color w:val="000000"/>
                <w:sz w:val="20"/>
                <w:szCs w:val="20"/>
                <w:lang w:eastAsia="id-ID"/>
              </w:rPr>
              <w:br/>
            </w: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765"/>
        </w:trPr>
        <w:tc>
          <w:tcPr>
            <w:tcW w:w="7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CIId1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Kode etik memasukkan prinsip-prinsip good governance (6 prinsip)</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terkait kode etik LSM/jaringan LSM dalam melakukan pemantauan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Sudah memasukkan prinsip good governance dalam melakukan pemantauan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r>
      <w:tr w:rsidR="00576E86" w:rsidRPr="00576E86" w:rsidTr="00576E86">
        <w:trPr>
          <w:trHeight w:val="76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terkait kode etik LSM/jaringan LSM dalam melakukan pemantauan</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000000" w:fill="F2F2F2"/>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2F2F2"/>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Organisasi Masyarakat Adat Lokal</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Nilai-nilai TNC yaitu Integritas tanpa cela, Menghargai masyarakat komunitas dan budaya, Komitmen terhadap keragaman, Satu Conservancy dan Hasil yang nyata dan berkelanjutan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Dibeberapa lembaga masih kurang, beberapa hal dalam prinsip GG belum maksimal dilakukan namun ada beberapa yang sudah berjalan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765"/>
        </w:trPr>
        <w:tc>
          <w:tcPr>
            <w:tcW w:w="749"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CIId2</w:t>
            </w:r>
          </w:p>
        </w:tc>
        <w:tc>
          <w:tcPr>
            <w:tcW w:w="1388"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Kredibilitas kode etik yang dipergunakan</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terkait kode etik LSM/jaringan LSM dalam melakukan pemantauan</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000000" w:fill="FFFF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Responden tidak menjawab pertanyaan ini </w:t>
            </w:r>
          </w:p>
        </w:tc>
        <w:tc>
          <w:tcPr>
            <w:tcW w:w="1382" w:type="dxa"/>
            <w:tcBorders>
              <w:top w:val="nil"/>
              <w:left w:val="nil"/>
              <w:bottom w:val="single" w:sz="4" w:space="0" w:color="auto"/>
              <w:right w:val="single" w:sz="4" w:space="0" w:color="auto"/>
            </w:tcBorders>
            <w:shd w:val="clear" w:color="000000" w:fill="FFFF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76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terkait kode etik LSM/jaringan LSM dalam melakukan pemantauan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000000" w:fill="F2F2F2"/>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2F2F2"/>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1530"/>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Organisasi Masyarakat Adat Lokal</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Nilai-nilai TNC yaitu Integritas tanpa cela, Menghargai masyarakat komunitas dan budaya, Komitmen terhadap keragaman, Satu Conservancy dan Hasil yang nyata dan berkelanjutan</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Di TNC kredibilitas sudah cukup bagus hanya saja dilapangan belum maksimal</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61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576E86">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576E86" w:rsidRPr="00576E86" w:rsidTr="00576E86">
        <w:trPr>
          <w:trHeight w:val="31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2040"/>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CIIe1</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000000" w:fill="FFFF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127" w:type="dxa"/>
            <w:tcBorders>
              <w:top w:val="nil"/>
              <w:left w:val="nil"/>
              <w:bottom w:val="single" w:sz="4" w:space="0" w:color="auto"/>
              <w:right w:val="single" w:sz="4" w:space="0" w:color="auto"/>
            </w:tcBorders>
            <w:shd w:val="clear" w:color="000000" w:fill="FFFF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837" w:type="dxa"/>
            <w:tcBorders>
              <w:top w:val="nil"/>
              <w:left w:val="nil"/>
              <w:bottom w:val="single" w:sz="4" w:space="0" w:color="auto"/>
              <w:right w:val="single" w:sz="4" w:space="0" w:color="auto"/>
            </w:tcBorders>
            <w:shd w:val="clear" w:color="000000" w:fill="0000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3652" w:type="dxa"/>
            <w:gridSpan w:val="3"/>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Isu dalam PGA REDD+</w:t>
            </w:r>
          </w:p>
        </w:tc>
        <w:tc>
          <w:tcPr>
            <w:tcW w:w="5851" w:type="dxa"/>
            <w:gridSpan w:val="4"/>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630"/>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7233" w:type="dxa"/>
            <w:gridSpan w:val="5"/>
            <w:tcBorders>
              <w:top w:val="nil"/>
              <w:left w:val="nil"/>
              <w:bottom w:val="single" w:sz="4" w:space="0" w:color="auto"/>
              <w:right w:val="nil"/>
            </w:tcBorders>
            <w:shd w:val="clear" w:color="auto" w:fill="auto"/>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lastRenderedPageBreak/>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785"/>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CIIIa1</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menunjukkan LSM memiliki program peningkatan kapasitas anggota/staf untuk melakukan pemantauan tata kelola hutan dan lahan gambut</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ada, jikapun ada jumlahnya sedikit.</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5851" w:type="dxa"/>
            <w:gridSpan w:val="4"/>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31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xml:space="preserve">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887" w:type="dxa"/>
            <w:gridSpan w:val="2"/>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LSM (Pengurus terkait isu keterwakilan gender)</w:t>
            </w: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530"/>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CIIIb1</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000000" w:fill="0000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127" w:type="dxa"/>
            <w:tcBorders>
              <w:top w:val="nil"/>
              <w:left w:val="nil"/>
              <w:bottom w:val="single" w:sz="4" w:space="0" w:color="auto"/>
              <w:right w:val="single" w:sz="4" w:space="0" w:color="auto"/>
            </w:tcBorders>
            <w:shd w:val="clear" w:color="000000" w:fill="0000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memadai, belum ada pertimbangan yang digunakan untuk memilih wakil berdasarkan keahlian, keterampilan dan gender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020"/>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CIIIb2</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000000" w:fill="0000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127" w:type="dxa"/>
            <w:tcBorders>
              <w:top w:val="nil"/>
              <w:left w:val="nil"/>
              <w:bottom w:val="single" w:sz="4" w:space="0" w:color="auto"/>
              <w:right w:val="single" w:sz="4" w:space="0" w:color="auto"/>
            </w:tcBorders>
            <w:shd w:val="clear" w:color="000000" w:fill="0000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memadai, belum ada mekanisme pemilihan wakil LSM dalam lembaga multipihak</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765"/>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CIIIb3</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forum pemilihan wakil LSM dalam lembaga/forum multipihak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000000" w:fill="0000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127" w:type="dxa"/>
            <w:tcBorders>
              <w:top w:val="nil"/>
              <w:left w:val="nil"/>
              <w:bottom w:val="single" w:sz="4" w:space="0" w:color="auto"/>
              <w:right w:val="single" w:sz="4" w:space="0" w:color="auto"/>
            </w:tcBorders>
            <w:shd w:val="clear" w:color="000000" w:fill="0000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memadai, belum ada pertimbangan yang digunakan begitu juga forumnya</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61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128"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LSM, Polisi</w:t>
            </w:r>
          </w:p>
        </w:tc>
        <w:tc>
          <w:tcPr>
            <w:tcW w:w="1759"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lastRenderedPageBreak/>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2295"/>
        </w:trPr>
        <w:tc>
          <w:tcPr>
            <w:tcW w:w="749"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CIIIc1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515"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Polres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mengenai jumlah inisiatif advokasi pemberantasan korupsi di sektor kehutanan oleh aktivis LSM lingkungan atau aktivis LSM anti korupsi</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Untuk di kabupaten Berau lebih kepada individu yang sering melaporkan, sementara untuk LSM biasanya hanya kedok saja untuk mencari uang. Korupsi adalah kasus yang prioritas, sehingga kami tetap konsen untuk pemberantasan korupsi. Kasus korupsi prosesnya sangat panjang, sehingga sering menjadi kendala dalam penanganannya.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530"/>
        </w:trPr>
        <w:tc>
          <w:tcPr>
            <w:tcW w:w="749"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mengenai jumlah inisiatif advokasi pemberantasan korupsi di sektor kehutanan oleh aktivis LSM lingkungan atau aktivis LSM anti korupsi</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Sangat buruk karena sepengetahuan untuk kabupaten Berau belum ada inisiatif advokasi pemberantasan korupsi di sektor kehutanan oleh aktivis LSM lingkungan atau aktivis LSM anti korupsi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3652" w:type="dxa"/>
            <w:gridSpan w:val="3"/>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Isu dalam PGA REDD+</w:t>
            </w:r>
          </w:p>
        </w:tc>
        <w:tc>
          <w:tcPr>
            <w:tcW w:w="5851" w:type="dxa"/>
            <w:gridSpan w:val="4"/>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61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887" w:type="dxa"/>
            <w:gridSpan w:val="2"/>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LSM (Pengurus), Pejabat Pemberi Izin, Jurnalis</w:t>
            </w: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275"/>
        </w:trPr>
        <w:tc>
          <w:tcPr>
            <w:tcW w:w="749"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CIVa1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515" w:type="dxa"/>
            <w:vMerge w:val="restart"/>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w:t>
            </w:r>
            <w:r w:rsidRPr="00576E86">
              <w:rPr>
                <w:rFonts w:ascii="Times New Roman" w:eastAsia="Times New Roman" w:hAnsi="Times New Roman" w:cs="Times New Roman"/>
                <w:color w:val="000000"/>
                <w:sz w:val="20"/>
                <w:szCs w:val="20"/>
                <w:lang w:eastAsia="id-ID"/>
              </w:rPr>
              <w:lastRenderedPageBreak/>
              <w:t>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Kehutanan</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menunjukkan jumlah LSM yang melakukan monitoring pemberian izin di dalam kawasan hutan dan pengelolaan kawasan konservasi</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Dianggap sudah memadai, namun responden tidak memjelaskan lebih lanjut</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27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menunjukkan jumlah LSM yang melakukan monitoring pemberian izin di dalam kawasan hutan dan pengelolaan kawasan konservasi</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mamadai, sampai saat ini belum ada yang melakukan monitoring pada kawasan hutan yang diberi izin.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3165"/>
        </w:trPr>
        <w:tc>
          <w:tcPr>
            <w:tcW w:w="749"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auto"/>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Dokumen yang diberikan oleh jurnalis berupa Surat Forum Aspirasi Rakyat Pinggiran kepada PT. SBE tentang dugaan beberapa pelanggaran dan berita media SBE Ngotot Beroperasi. Belum Punya Amdal, Disidak DPRD, Bantah Lakukan Penambangan. Dokumen tidak menjelaskan terkait monitoring pemberian izin di dalam kawasan hutan dan pengelolaan kawasan konservasi</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000000" w:fill="FFFF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tahu. Tapi pernah melakukan wawancara dengan masayrakat di Birang bahwa sungai sudah tercemar, lebah sudah tidak menghasilkan madu.</w:t>
            </w:r>
          </w:p>
        </w:tc>
        <w:tc>
          <w:tcPr>
            <w:tcW w:w="1382" w:type="dxa"/>
            <w:tcBorders>
              <w:top w:val="nil"/>
              <w:left w:val="nil"/>
              <w:bottom w:val="single" w:sz="4" w:space="0" w:color="auto"/>
              <w:right w:val="single" w:sz="4" w:space="0" w:color="auto"/>
            </w:tcBorders>
            <w:shd w:val="clear" w:color="000000" w:fill="FFFF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64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576E86" w:rsidRPr="00576E86" w:rsidTr="00576E86">
        <w:trPr>
          <w:trHeight w:val="420"/>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12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LSM (Aktivis)</w:t>
            </w:r>
          </w:p>
        </w:tc>
        <w:tc>
          <w:tcPr>
            <w:tcW w:w="175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12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530"/>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CIVb1</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Pemahaman terhadap prinsip &amp; prosedur</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bisa menunjukkan tingkat pengetahuan aktivis LSM yang melakukan monitoring mengenai prinsip dan prosedur pemberian izin dan pengelolaan kawasan konservasi</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memadai, namun responden tidak menjelaskan lebih lanjut.</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275"/>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CIVb2</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Strategi pelaksanaan monitoring</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menunjukkan strategi peaksanaan  monitoring mengenai prinsip dan prosedur pemberian izin dan pengelolaan kawasan konservasi</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memadai, namun responden tidak menjelaskan lebih lanjut.</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530"/>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CIVb3</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Bukti Keikutsertaan dalam pelatihan monitoring</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menyangkut  bukti training yang pernah diikuti oleh  aktivis LSM yang melakukan monitoring mengenai prinsip dan prosedur pemberian izin dan pengelolaan kawasan konservasi</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memadai, namun responden tidak menjelaskan lebih lanjut.</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360"/>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5851" w:type="dxa"/>
            <w:gridSpan w:val="4"/>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Pelaksanaan peningkatan kapasitas (Pengurus LSM) dan Masyarakat Adat/Lokal (Pengurus)</w:t>
            </w:r>
            <w:r w:rsidRPr="00576E86">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500"/>
        </w:trPr>
        <w:tc>
          <w:tcPr>
            <w:tcW w:w="749"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CIVc1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515"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bisa menunjukkan jumlah LSM yang aktif melakukan peningkatan kapasitas masyarakat adat dan lokal untuk mengelola hutan</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memadai, belum ada LSM yang melakukan peningkatan kapasitas masyarakat untuk pengelolaan hutan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200"/>
        </w:trPr>
        <w:tc>
          <w:tcPr>
            <w:tcW w:w="749"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Organisasi Masyarakat Adat Lokal</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Laporan pelatihan seperti perencanaan kampung partisipatif, penyusunan peraturan kampung, resolusi konflik, studi banding</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Pendampingan yang dilakukan TNC sering, tindak dilapangan belum maksimal. Pelatihan dan diskusi sering ada</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4</w:t>
            </w:r>
          </w:p>
        </w:tc>
      </w:tr>
      <w:tr w:rsidR="00576E86" w:rsidRPr="00576E86" w:rsidTr="00576E86">
        <w:trPr>
          <w:trHeight w:val="1500"/>
        </w:trPr>
        <w:tc>
          <w:tcPr>
            <w:tcW w:w="749"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CIVc2</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515"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Apakah pelaksanaan peningkatan kapasitas masyarakat adat dan lokal </w:t>
            </w:r>
            <w:r w:rsidRPr="00576E86">
              <w:rPr>
                <w:rFonts w:ascii="Times New Roman" w:eastAsia="Times New Roman" w:hAnsi="Times New Roman" w:cs="Times New Roman"/>
                <w:color w:val="000000"/>
                <w:sz w:val="20"/>
                <w:szCs w:val="20"/>
                <w:lang w:eastAsia="id-ID"/>
              </w:rPr>
              <w:lastRenderedPageBreak/>
              <w:t>untuk mengelola hutan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LSM</w:t>
            </w:r>
          </w:p>
        </w:tc>
        <w:tc>
          <w:tcPr>
            <w:tcW w:w="1759" w:type="dxa"/>
            <w:tcBorders>
              <w:top w:val="nil"/>
              <w:left w:val="nil"/>
              <w:bottom w:val="single" w:sz="4" w:space="0" w:color="auto"/>
              <w:right w:val="single" w:sz="4" w:space="0" w:color="auto"/>
            </w:tcBorders>
            <w:shd w:val="clear" w:color="000000" w:fill="0000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127" w:type="dxa"/>
            <w:tcBorders>
              <w:top w:val="nil"/>
              <w:left w:val="nil"/>
              <w:bottom w:val="single" w:sz="4" w:space="0" w:color="auto"/>
              <w:right w:val="single" w:sz="4" w:space="0" w:color="auto"/>
            </w:tcBorders>
            <w:shd w:val="clear" w:color="000000" w:fill="0000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Belum memadai, belum ada peningkatan kapasitas masyarakat untuk mengelola hutan </w:t>
            </w:r>
            <w:r w:rsidRPr="00576E86">
              <w:rPr>
                <w:rFonts w:ascii="Times New Roman" w:eastAsia="Times New Roman" w:hAnsi="Times New Roman" w:cs="Times New Roman"/>
                <w:color w:val="000000"/>
                <w:sz w:val="20"/>
                <w:szCs w:val="20"/>
                <w:lang w:eastAsia="id-ID"/>
              </w:rPr>
              <w:lastRenderedPageBreak/>
              <w:t>seperti monitoring, pelatihan GPS dan lainnya</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1</w:t>
            </w:r>
          </w:p>
        </w:tc>
      </w:tr>
      <w:tr w:rsidR="00576E86" w:rsidRPr="00576E86" w:rsidTr="00576E86">
        <w:trPr>
          <w:trHeight w:val="1095"/>
        </w:trPr>
        <w:tc>
          <w:tcPr>
            <w:tcW w:w="749"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Organisasi Masyarakat Adat Lokal</w:t>
            </w:r>
          </w:p>
        </w:tc>
        <w:tc>
          <w:tcPr>
            <w:tcW w:w="1759" w:type="dxa"/>
            <w:tcBorders>
              <w:top w:val="nil"/>
              <w:left w:val="nil"/>
              <w:bottom w:val="single" w:sz="4" w:space="0" w:color="auto"/>
              <w:right w:val="single" w:sz="4" w:space="0" w:color="auto"/>
            </w:tcBorders>
            <w:shd w:val="clear" w:color="000000" w:fill="000000"/>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127" w:type="dxa"/>
            <w:tcBorders>
              <w:top w:val="nil"/>
              <w:left w:val="nil"/>
              <w:bottom w:val="single" w:sz="4" w:space="0" w:color="auto"/>
              <w:right w:val="single" w:sz="4" w:space="0" w:color="auto"/>
            </w:tcBorders>
            <w:shd w:val="clear" w:color="000000" w:fill="000000"/>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maksimal karena dalam Pelaksanaan lapangan masyarakat belum terlibat secara langsung dalam pengelolaan SDA. Seperti ada MoU CFM tapi tidak berjalan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Isu dalam PGA REDD+</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88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xml:space="preserve">: V. Pengendalian dan Penegakan Hukum  </w:t>
            </w: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5851" w:type="dxa"/>
            <w:gridSpan w:val="4"/>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887" w:type="dxa"/>
            <w:gridSpan w:val="2"/>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Pelaksanaan LSM, Masyarakat pelapor</w:t>
            </w:r>
            <w:r w:rsidRPr="00576E86">
              <w:rPr>
                <w:rFonts w:ascii="Times New Roman" w:eastAsia="Times New Roman" w:hAnsi="Times New Roman" w:cs="Times New Roman"/>
                <w:b/>
                <w:bCs/>
                <w:color w:val="000000"/>
                <w:sz w:val="20"/>
                <w:szCs w:val="20"/>
                <w:lang w:eastAsia="id-ID"/>
              </w:rPr>
              <w:br/>
            </w: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020"/>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CVa1</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LSM yang menerima pe-ngaduan masyarakat terkait ma-salah kehutanan</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Berapa jumlah pengaduan ma-syarakat yang diterima LSM?</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menunjukkan berapa jumlah pengaduan masyarakat yang diterima LSM</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pengaduan masyarakat yang diterima oleh LSM tentang masalah kehutanan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785"/>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CVa2</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Isu pengaduan: </w:t>
            </w:r>
            <w:r w:rsidRPr="00576E86">
              <w:rPr>
                <w:rFonts w:ascii="Times New Roman" w:eastAsia="Times New Roman" w:hAnsi="Times New Roman" w:cs="Times New Roman"/>
                <w:color w:val="000000"/>
                <w:sz w:val="20"/>
                <w:szCs w:val="20"/>
                <w:lang w:eastAsia="id-ID"/>
              </w:rPr>
              <w:br/>
              <w:t xml:space="preserve">a) Korupsi &amp; Kejahatan Kehutanan, </w:t>
            </w:r>
            <w:r w:rsidRPr="00576E86">
              <w:rPr>
                <w:rFonts w:ascii="Times New Roman" w:eastAsia="Times New Roman" w:hAnsi="Times New Roman" w:cs="Times New Roman"/>
                <w:color w:val="000000"/>
                <w:sz w:val="20"/>
                <w:szCs w:val="20"/>
                <w:lang w:eastAsia="id-ID"/>
              </w:rPr>
              <w:br/>
              <w:t xml:space="preserve">b) Perencanaan, </w:t>
            </w:r>
            <w:r w:rsidRPr="00576E86">
              <w:rPr>
                <w:rFonts w:ascii="Times New Roman" w:eastAsia="Times New Roman" w:hAnsi="Times New Roman" w:cs="Times New Roman"/>
                <w:color w:val="000000"/>
                <w:sz w:val="20"/>
                <w:szCs w:val="20"/>
                <w:lang w:eastAsia="id-ID"/>
              </w:rPr>
              <w:br/>
              <w:t>c) Hak &amp; Pengelolaan hutan &amp; lahan gambut</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dimiliki isu pengaduan terkait korupsi dan kejahatan kehutanan, perencanaan, hal dan pengelolaan hutan dan lahan gambut</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Ya, mungkin jika ada pengaduan akan mencakup isu yang berhubungan dengan korupsi dan kejahatan kehutanan, perencanaan  dan pengelolaan hutan dan lahan gambut. Namun sejauh ini tidak ada laporan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765"/>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CVa3</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SOP penerimaan pengaduan</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SOP penerimaan pengaduan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SOP penerimaan pengaduan</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memadai, belum ada SOP penerimaan pengaduan dan staf khusus untuk pengaduan masyarakay</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765"/>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CVa4</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Staf yang khusus ditugaskan menerima pengaduan</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SOP penerimaan pengaduan sudah memadai?</w:t>
            </w:r>
          </w:p>
        </w:tc>
        <w:tc>
          <w:tcPr>
            <w:tcW w:w="112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SOP penerimaan pengaduan</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memadai. Belum ada staf khusus untuk ditugaskan menerima </w:t>
            </w:r>
            <w:r w:rsidRPr="00576E86">
              <w:rPr>
                <w:rFonts w:ascii="Times New Roman" w:eastAsia="Times New Roman" w:hAnsi="Times New Roman" w:cs="Times New Roman"/>
                <w:color w:val="000000"/>
                <w:sz w:val="20"/>
                <w:szCs w:val="20"/>
                <w:lang w:eastAsia="id-ID"/>
              </w:rPr>
              <w:lastRenderedPageBreak/>
              <w:t>pengaduan</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1</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Isu dalam PGA REDD+</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88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VI. Infrastruktur REDD+</w:t>
            </w: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5851" w:type="dxa"/>
            <w:gridSpan w:val="4"/>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887" w:type="dxa"/>
            <w:gridSpan w:val="2"/>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LSM (Pengurus), Satgas REDD+</w:t>
            </w:r>
            <w:r w:rsidRPr="00576E86">
              <w:rPr>
                <w:rFonts w:ascii="Times New Roman" w:eastAsia="Times New Roman" w:hAnsi="Times New Roman" w:cs="Times New Roman"/>
                <w:b/>
                <w:bCs/>
                <w:color w:val="000000"/>
                <w:sz w:val="20"/>
                <w:szCs w:val="20"/>
                <w:lang w:eastAsia="id-ID"/>
              </w:rPr>
              <w:br/>
            </w: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2295"/>
        </w:trPr>
        <w:tc>
          <w:tcPr>
            <w:tcW w:w="749"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CVIa1</w:t>
            </w:r>
          </w:p>
        </w:tc>
        <w:tc>
          <w:tcPr>
            <w:tcW w:w="1388"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Jumlah LSM yang melakukan monitoring terhadap persiapan dan pelaksanaan REDD+</w:t>
            </w:r>
          </w:p>
        </w:tc>
        <w:tc>
          <w:tcPr>
            <w:tcW w:w="1515" w:type="dxa"/>
            <w:vMerge w:val="restart"/>
            <w:tcBorders>
              <w:top w:val="nil"/>
              <w:left w:val="single" w:sz="4" w:space="0" w:color="auto"/>
              <w:bottom w:val="single" w:sz="4" w:space="0" w:color="000000"/>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Satgas REDD+</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Dokumen LSM monitoring terhadap persiapan dan pelaksanaan REDD+ beberapa diantaranya adalah Laporan final kumpulan ringkasan hasil studi, laporan kajian masyarakat Berau-REDD, laporan konsultasi masyarakat, renstra PKHB. Laporan sosial ekonomi dan budaya</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24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Ada 3 LSM yaitu, TNC, Cifor dan giz </w:t>
            </w:r>
            <w:r w:rsidRPr="00576E86">
              <w:rPr>
                <w:rFonts w:ascii="Times New Roman" w:eastAsia="Times New Roman" w:hAnsi="Times New Roman" w:cs="Times New Roman"/>
                <w:color w:val="000000"/>
                <w:sz w:val="20"/>
                <w:szCs w:val="20"/>
                <w:lang w:eastAsia="id-ID"/>
              </w:rPr>
              <w:br/>
            </w:r>
          </w:p>
        </w:tc>
        <w:tc>
          <w:tcPr>
            <w:tcW w:w="1382"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r>
      <w:tr w:rsidR="00576E86" w:rsidRPr="00576E86" w:rsidTr="00576E86">
        <w:trPr>
          <w:trHeight w:val="1785"/>
        </w:trPr>
        <w:tc>
          <w:tcPr>
            <w:tcW w:w="749"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515" w:type="dxa"/>
            <w:vMerge/>
            <w:tcBorders>
              <w:top w:val="nil"/>
              <w:left w:val="single" w:sz="4" w:space="0" w:color="auto"/>
              <w:bottom w:val="single" w:sz="4" w:space="0" w:color="000000"/>
              <w:right w:val="single" w:sz="4" w:space="0" w:color="auto"/>
            </w:tcBorders>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dalam dokumen Renstra PKHB salah satunya  menjelaskan tentang peran serta dalam pengembangan sistem yang terukur, dapat dilaporkan, dan dapat diverifikasi bagi perhitungan pengurangan emisi di tingkat nasional</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ada, dirasa belum ada monitoring yang dilakukan oleh LSM dalam hal persiapan dan pelaksanaan REDD+ di kabupaten Berau</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28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7233" w:type="dxa"/>
            <w:gridSpan w:val="5"/>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Wawancara – Sumber informasi</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887" w:type="dxa"/>
            <w:gridSpan w:val="2"/>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LSM (Pengurus)</w:t>
            </w: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2340"/>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CVIb1</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Keikutsertaan dalam pelatihan</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aktivis LSM memiliki bukti keikutsertaan dalam pelatihan?</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Pelatihan yang pernah dilakukan sekertariat Pokja REDD dengan bekerjasama berbagai lembaga antaranya pelatihan pengenalan REDD dan PKHB bagi pengambil kebijakan, Peningkatan kapasitas dalam praktek kelola terbaik pada areal kebun sawit dan pelatihan lain.</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Ada, misalnya workshop yang dilaksanakan oleh POKJA REDD+ di kabupaten Berau. Tapi ini belum maksimal</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765"/>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CVIb2</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Pemahaman mengenai REDD+</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pemahaman aktivis LSM mengenai REDD+ sudah memadai?</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menjelaskan tingkat pemahaman REDD+ pada LSM</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Hingga saat ini dirasakan belum terlalu paham tentang REDD+</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1020"/>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CVIb3</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Pemahaman terhadap prinsip &amp; prosedur</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pemahaman aktivis LSM terhadap prinsip &amp; prosedur sudah memadai?</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Tidak ada dokumen yang menjelaskan mengenai pemahaman aktivis LSM terhadap prinsip dan prosedur </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ada pemahaman terhadap prinsip dan prosedur REDD+ bagi LSM. Mungkian hanya sebagian LSM yang pernah ikutserta dalam kegiatan-kegiatan workshop</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040"/>
        </w:trPr>
        <w:tc>
          <w:tcPr>
            <w:tcW w:w="749" w:type="dxa"/>
            <w:tcBorders>
              <w:top w:val="nil"/>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CVIb4</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Strategi pelaksanaan monitoring</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strategi pelaksanaan moni-toring sudah memadai?</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LSM</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Dokumen Renstra PKHB Berperan serta dalam pengembangan sistem yang terukur, dapat dilaporkan, dan dapat diverifikasi bagi perhitungan pengurangan emisi di tingkat nasional, namun belum ada dokumen strategi pelaksanaan monitoring.</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ada monitoring untuk pelaksanaan REDD+.</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r>
      <w:tr w:rsidR="00576E86" w:rsidRPr="00576E86" w:rsidTr="00576E86">
        <w:trPr>
          <w:trHeight w:val="255"/>
        </w:trPr>
        <w:tc>
          <w:tcPr>
            <w:tcW w:w="749"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8" w:type="dxa"/>
            <w:tcBorders>
              <w:top w:val="nil"/>
              <w:left w:val="nil"/>
              <w:bottom w:val="nil"/>
              <w:right w:val="nil"/>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515"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128"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759"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c>
          <w:tcPr>
            <w:tcW w:w="1837" w:type="dxa"/>
            <w:tcBorders>
              <w:top w:val="nil"/>
              <w:left w:val="nil"/>
              <w:bottom w:val="nil"/>
              <w:right w:val="nil"/>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360"/>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Indikator</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p>
        </w:tc>
        <w:tc>
          <w:tcPr>
            <w:tcW w:w="5851" w:type="dxa"/>
            <w:gridSpan w:val="4"/>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p>
        </w:tc>
      </w:tr>
      <w:tr w:rsidR="00576E86" w:rsidRPr="00576E86" w:rsidTr="00576E86">
        <w:trPr>
          <w:trHeight w:val="255"/>
        </w:trPr>
        <w:tc>
          <w:tcPr>
            <w:tcW w:w="2137" w:type="dxa"/>
            <w:gridSpan w:val="2"/>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515"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2887" w:type="dxa"/>
            <w:gridSpan w:val="2"/>
            <w:tcBorders>
              <w:top w:val="nil"/>
              <w:left w:val="nil"/>
              <w:bottom w:val="nil"/>
              <w:right w:val="nil"/>
            </w:tcBorders>
            <w:shd w:val="clear" w:color="auto" w:fill="auto"/>
            <w:noWrap/>
            <w:vAlign w:val="center"/>
            <w:hideMark/>
          </w:tcPr>
          <w:p w:rsidR="00576E86" w:rsidRPr="00576E86" w:rsidRDefault="00576E86" w:rsidP="00576E86">
            <w:pPr>
              <w:spacing w:after="240" w:line="240" w:lineRule="auto"/>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 Artikel/kolom dalam Media Cetak</w:t>
            </w:r>
          </w:p>
        </w:tc>
        <w:tc>
          <w:tcPr>
            <w:tcW w:w="112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837"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p>
        </w:tc>
      </w:tr>
      <w:tr w:rsidR="00576E86" w:rsidRPr="00576E86" w:rsidTr="00576E86">
        <w:trPr>
          <w:trHeight w:val="510"/>
        </w:trPr>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Kode</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Panduan Analisis Dokumen</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Pertanyaan Wawancara</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Sumber Data</w:t>
            </w:r>
          </w:p>
        </w:tc>
        <w:tc>
          <w:tcPr>
            <w:tcW w:w="1759"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Dokumen</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b/>
                <w:bCs/>
                <w:color w:val="000000"/>
                <w:sz w:val="20"/>
                <w:szCs w:val="20"/>
                <w:lang w:eastAsia="id-ID"/>
              </w:rPr>
            </w:pPr>
            <w:r w:rsidRPr="00576E86">
              <w:rPr>
                <w:rFonts w:ascii="Times New Roman" w:eastAsia="Times New Roman" w:hAnsi="Times New Roman" w:cs="Times New Roman"/>
                <w:b/>
                <w:bCs/>
                <w:color w:val="000000"/>
                <w:sz w:val="20"/>
                <w:szCs w:val="20"/>
                <w:lang w:eastAsia="id-ID"/>
              </w:rPr>
              <w:t>Kategori Data Wawancara</w:t>
            </w:r>
          </w:p>
        </w:tc>
      </w:tr>
      <w:tr w:rsidR="00576E86" w:rsidRPr="00576E86" w:rsidTr="00576E86">
        <w:trPr>
          <w:trHeight w:val="1530"/>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lastRenderedPageBreak/>
              <w:t>CVIc1</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Cakupan berita mengenai persiapan atau pelaksanaan REDD+ </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cakupan berita mengenai persiapan atau pelaksanaan REDD+ sudah memadai?</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Artikel yang pernah dimuat dari tahun 2010 sampai dengan tahun 2012 sekitar 10 artikel tentang REDD+ di kab. Berau yang dimuat dalam Kaltimpost.</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Pernah ada publikasi tentang REDD dikolom Berau. REDD seperti bumi dengan langit karena secara menyeluruh masyarakat tidak mengetahui apa itu REDD. Wartawan juga tidak memiliki kemampuan yang sama dalam isu lingkungan.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r>
      <w:tr w:rsidR="00576E86" w:rsidRPr="00576E86" w:rsidTr="00576E86">
        <w:trPr>
          <w:trHeight w:val="1530"/>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CVIc2</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tidak ada  pemberitaan terkait kepastian hak dan akses bagi masyarkaat adat/ lokal dalam persiapan atau pelaksanaan REDD+.</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Belum memadai, tapi kita tidak tahu jika prosesnya dipotong langsung oleh kawan-kawan LSM</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275"/>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CVIc3</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Posisi berita (letak halaman pemberitaan)</w:t>
            </w:r>
          </w:p>
        </w:tc>
        <w:tc>
          <w:tcPr>
            <w:tcW w:w="1515"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posisi berita (letak halaman pemberitaan) sudah strategis?</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Artikel yang pernah dimuat dari tahun 2010 sampai dengan tahun 2012 sekitar 10 artikel tentang REDD+ di kab. Berau yang dimuat dalam Kaltimpost.</w:t>
            </w:r>
          </w:p>
        </w:tc>
        <w:tc>
          <w:tcPr>
            <w:tcW w:w="112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3</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Media kurang care dengan isu lingkungan karena kalah dengan isu-isu atau berita-berita yang lain. Sehingga kurang strategis posisinya.</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r w:rsidR="00576E86" w:rsidRPr="00576E86" w:rsidTr="00576E86">
        <w:trPr>
          <w:trHeight w:val="1020"/>
        </w:trPr>
        <w:tc>
          <w:tcPr>
            <w:tcW w:w="749" w:type="dxa"/>
            <w:tcBorders>
              <w:top w:val="nil"/>
              <w:left w:val="single" w:sz="4" w:space="0" w:color="auto"/>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CVIc4</w:t>
            </w:r>
          </w:p>
        </w:tc>
        <w:tc>
          <w:tcPr>
            <w:tcW w:w="1388"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Posisi media dalam pemberitaan</w:t>
            </w:r>
          </w:p>
        </w:tc>
        <w:tc>
          <w:tcPr>
            <w:tcW w:w="1515" w:type="dxa"/>
            <w:tcBorders>
              <w:top w:val="nil"/>
              <w:left w:val="nil"/>
              <w:bottom w:val="single" w:sz="4" w:space="0" w:color="auto"/>
              <w:right w:val="single" w:sz="4" w:space="0" w:color="auto"/>
            </w:tcBorders>
            <w:shd w:val="clear" w:color="auto" w:fill="auto"/>
            <w:vAlign w:val="bottom"/>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28"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Jurnalis</w:t>
            </w:r>
          </w:p>
        </w:tc>
        <w:tc>
          <w:tcPr>
            <w:tcW w:w="1759"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Tidak ada dokumen yang menjelaskan posisi media dalam pemberitaan mendukung persiapan atau pelaksanaan REDD+</w:t>
            </w:r>
          </w:p>
        </w:tc>
        <w:tc>
          <w:tcPr>
            <w:tcW w:w="1127"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1</w:t>
            </w:r>
          </w:p>
        </w:tc>
        <w:tc>
          <w:tcPr>
            <w:tcW w:w="1837" w:type="dxa"/>
            <w:tcBorders>
              <w:top w:val="nil"/>
              <w:left w:val="nil"/>
              <w:bottom w:val="single" w:sz="4" w:space="0" w:color="auto"/>
              <w:right w:val="single" w:sz="4" w:space="0" w:color="auto"/>
            </w:tcBorders>
            <w:shd w:val="clear" w:color="auto" w:fill="auto"/>
            <w:vAlign w:val="center"/>
            <w:hideMark/>
          </w:tcPr>
          <w:p w:rsidR="00576E86" w:rsidRPr="00576E86" w:rsidRDefault="00576E86" w:rsidP="00576E86">
            <w:pPr>
              <w:spacing w:after="0" w:line="240" w:lineRule="auto"/>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 xml:space="preserve">Media kurang care dengan isu lingkungan karena kalah dengan isu-isu atau berita-berita yang lain. </w:t>
            </w:r>
          </w:p>
        </w:tc>
        <w:tc>
          <w:tcPr>
            <w:tcW w:w="1382" w:type="dxa"/>
            <w:tcBorders>
              <w:top w:val="nil"/>
              <w:left w:val="nil"/>
              <w:bottom w:val="single" w:sz="4" w:space="0" w:color="auto"/>
              <w:right w:val="single" w:sz="4" w:space="0" w:color="auto"/>
            </w:tcBorders>
            <w:shd w:val="clear" w:color="auto" w:fill="auto"/>
            <w:noWrap/>
            <w:vAlign w:val="center"/>
            <w:hideMark/>
          </w:tcPr>
          <w:p w:rsidR="00576E86" w:rsidRPr="00576E86" w:rsidRDefault="00576E86" w:rsidP="00576E86">
            <w:pPr>
              <w:spacing w:after="0" w:line="240" w:lineRule="auto"/>
              <w:jc w:val="center"/>
              <w:rPr>
                <w:rFonts w:ascii="Times New Roman" w:eastAsia="Times New Roman" w:hAnsi="Times New Roman" w:cs="Times New Roman"/>
                <w:color w:val="000000"/>
                <w:sz w:val="20"/>
                <w:szCs w:val="20"/>
                <w:lang w:eastAsia="id-ID"/>
              </w:rPr>
            </w:pPr>
            <w:r w:rsidRPr="00576E86">
              <w:rPr>
                <w:rFonts w:ascii="Times New Roman" w:eastAsia="Times New Roman" w:hAnsi="Times New Roman" w:cs="Times New Roman"/>
                <w:color w:val="000000"/>
                <w:sz w:val="20"/>
                <w:szCs w:val="20"/>
                <w:lang w:eastAsia="id-ID"/>
              </w:rPr>
              <w:t>2</w:t>
            </w:r>
          </w:p>
        </w:tc>
      </w:tr>
    </w:tbl>
    <w:p w:rsidR="00576E86" w:rsidRDefault="00576E86"/>
    <w:sectPr w:rsidR="00576E86"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76E86"/>
    <w:rsid w:val="005D2D3D"/>
    <w:rsid w:val="006E5970"/>
    <w:rsid w:val="009F3E98"/>
    <w:rsid w:val="00A01A45"/>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576E8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097403202">
      <w:bodyDiv w:val="1"/>
      <w:marLeft w:val="0"/>
      <w:marRight w:val="0"/>
      <w:marTop w:val="0"/>
      <w:marBottom w:val="0"/>
      <w:divBdr>
        <w:top w:val="none" w:sz="0" w:space="0" w:color="auto"/>
        <w:left w:val="none" w:sz="0" w:space="0" w:color="auto"/>
        <w:bottom w:val="none" w:sz="0" w:space="0" w:color="auto"/>
        <w:right w:val="none" w:sz="0" w:space="0" w:color="auto"/>
      </w:divBdr>
    </w:div>
    <w:div w:id="12214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26</Pages>
  <Words>6946</Words>
  <Characters>39595</Characters>
  <Application>Microsoft Office Word</Application>
  <DocSecurity>0</DocSecurity>
  <Lines>329</Lines>
  <Paragraphs>92</Paragraphs>
  <ScaleCrop>false</ScaleCrop>
  <Company/>
  <LinksUpToDate>false</LinksUpToDate>
  <CharactersWithSpaces>46449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2012-10-16T04:00:00Z</dcterms:modified>
</cp:coreProperties>
</file>